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76" w:rsidRDefault="00B20C76" w:rsidP="00B20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C76" w:rsidRDefault="005B35ED" w:rsidP="00B20C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35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9.35pt;margin-top:9pt;width:486.2pt;height:78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" o:allowincell="f" strokecolor="white" strokeweight=".05pt">
            <v:textbox>
              <w:txbxContent>
                <w:p w:rsidR="004D79A8" w:rsidRDefault="004D79A8" w:rsidP="00B20C76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АДМИНИСТРАЦИЯ  КУМЕНСКОГО  РАЙОНА</w:t>
                  </w:r>
                </w:p>
                <w:p w:rsidR="004D79A8" w:rsidRDefault="004D79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КИРОВСКОЙ ОБЛАСТИ</w:t>
                  </w:r>
                </w:p>
                <w:p w:rsidR="004D79A8" w:rsidRDefault="004D79A8" w:rsidP="00B20C76">
                  <w:pPr>
                    <w:pStyle w:val="ae"/>
                    <w:rPr>
                      <w:sz w:val="28"/>
                      <w:szCs w:val="28"/>
                    </w:rPr>
                  </w:pPr>
                </w:p>
                <w:p w:rsidR="004D79A8" w:rsidRDefault="004D79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4D79A8" w:rsidRDefault="004D79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79A8" w:rsidRDefault="004D79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79A8" w:rsidRDefault="004D79A8" w:rsidP="00B20C76">
                  <w:pPr>
                    <w:pStyle w:val="ae"/>
                    <w:rPr>
                      <w:rFonts w:ascii="Times New Roman" w:hAnsi="Times New Roman" w:cs="Times New Roman"/>
                      <w:b/>
                      <w:spacing w:val="60"/>
                      <w:sz w:val="32"/>
                      <w:szCs w:val="32"/>
                    </w:rPr>
                  </w:pPr>
                </w:p>
                <w:p w:rsidR="004D79A8" w:rsidRDefault="004D79A8" w:rsidP="00B20C76">
                  <w:pPr>
                    <w:pStyle w:val="af1"/>
                  </w:pPr>
                </w:p>
              </w:txbxContent>
            </v:textbox>
          </v:shape>
        </w:pict>
      </w: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2C210F">
        <w:rPr>
          <w:rFonts w:ascii="Times New Roman" w:hAnsi="Times New Roman" w:cs="Times New Roman"/>
          <w:sz w:val="28"/>
          <w:szCs w:val="28"/>
        </w:rPr>
        <w:t>17.01.2022</w:t>
      </w:r>
      <w:r>
        <w:rPr>
          <w:rFonts w:ascii="Times New Roman" w:hAnsi="Times New Roman" w:cs="Times New Roman"/>
          <w:sz w:val="28"/>
          <w:szCs w:val="28"/>
        </w:rPr>
        <w:t xml:space="preserve">    №  </w:t>
      </w:r>
      <w:r w:rsidR="002C210F">
        <w:rPr>
          <w:rFonts w:ascii="Times New Roman" w:hAnsi="Times New Roman" w:cs="Times New Roman"/>
          <w:sz w:val="28"/>
          <w:szCs w:val="28"/>
        </w:rPr>
        <w:t>24</w:t>
      </w: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Кумены</w:t>
      </w: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 внесении изменений в постановление администрации 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Куменского района от 28.08.2018 № 375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</w:t>
      </w:r>
      <w:r w:rsidR="004D79A8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В соответствии с </w:t>
      </w:r>
      <w:r w:rsidR="001015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решени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е</w:t>
      </w:r>
      <w:r w:rsidR="00101575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м Куменской районной Думы от </w:t>
      </w:r>
      <w:r w:rsidR="00101575">
        <w:rPr>
          <w:rFonts w:ascii="Times New Roman" w:hAnsi="Times New Roman" w:cs="Times New Roman"/>
          <w:color w:val="000000"/>
          <w:sz w:val="28"/>
          <w:szCs w:val="28"/>
        </w:rPr>
        <w:t>21.12.2021    № 5/25</w:t>
      </w:r>
      <w:r w:rsidR="00101575">
        <w:rPr>
          <w:rFonts w:ascii="Times New Roman" w:eastAsia="SimSun" w:hAnsi="Times New Roman" w:cs="Times New Roman"/>
          <w:sz w:val="28"/>
          <w:szCs w:val="28"/>
        </w:rPr>
        <w:t xml:space="preserve"> «О внесении изменений в решение Куменской районной Думы  от 22.12.2020</w:t>
      </w:r>
      <w:r w:rsidR="00101575">
        <w:rPr>
          <w:rFonts w:ascii="Times New Roman" w:hAnsi="Times New Roman" w:cs="Times New Roman"/>
          <w:color w:val="000000"/>
          <w:sz w:val="28"/>
          <w:szCs w:val="28"/>
        </w:rPr>
        <w:t xml:space="preserve"> № 36/265</w:t>
      </w:r>
      <w:r w:rsidR="00101575">
        <w:rPr>
          <w:rFonts w:ascii="Times New Roman" w:eastAsia="SimSun" w:hAnsi="Times New Roman" w:cs="Times New Roman"/>
          <w:sz w:val="28"/>
          <w:szCs w:val="28"/>
        </w:rPr>
        <w:t>», решением Куменской районной Думы от 21.12.2021  № 5/23 «О бюджете муниципальное образование Куменский муниципальный район Кировской области на 2022 год и плановый период 2023 и 2024 годов»</w:t>
      </w:r>
      <w:r w:rsidR="00101575" w:rsidRPr="00101575">
        <w:rPr>
          <w:rFonts w:ascii="Times New Roman" w:eastAsia="SimSun" w:hAnsi="Times New Roman" w:cs="Times New Roman"/>
          <w:sz w:val="28"/>
          <w:szCs w:val="28"/>
        </w:rPr>
        <w:t>,</w:t>
      </w:r>
      <w:r w:rsidR="00101575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постановлением администрации Куменского района от 26.08.2013 № 692 «О разработке, реализации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и оценке эффективности реализации муниципальных программ на территории Куменского муниципального района Кировской области», постановлением администрации Куменского района от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24.07.2018 № 301 «Об утверждении перечня муниципальных программ»,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статьями 33,35 Устава Куменского района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администрация Куменского района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ПОСТАНОВЛЯЕТ: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 Внести изменения в муниципальную программу  «Развитие образования в Куменском районе», утвержденную постановлением администрации Куменского района от 28.08.2018г. № 375. Прилагаются.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2. Отделу информатизации управления делами администрации района  (Урванцев Д.М.)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разместить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настоящее постановление на официальном сайте Куменского района.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3. </w:t>
      </w:r>
      <w:proofErr w:type="gramStart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выполнением постановления возложить на заместителя главы администрации района, начальника управления социальной работы Логинова В.В.</w:t>
      </w:r>
    </w:p>
    <w:p w:rsidR="00B20C76" w:rsidRDefault="00B20C76" w:rsidP="00B20C76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4. Постановление вступает в силу согласно действующему законодательству.</w:t>
      </w: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0E655E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Куменского района                                           </w:t>
      </w:r>
      <w:r w:rsidR="00044AE9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ED4E5F" w:rsidRDefault="00ED4E5F" w:rsidP="00ED4E5F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D79A8" w:rsidRPr="00ED4E5F" w:rsidRDefault="004D79A8" w:rsidP="00ED4E5F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79A8" w:rsidRDefault="004D79A8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0E655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="00B20C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 управления 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обр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>азования администрации района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0E655E">
        <w:rPr>
          <w:rFonts w:ascii="Times New Roman" w:eastAsia="Times New Roman" w:hAnsi="Times New Roman" w:cs="Times New Roman"/>
          <w:sz w:val="28"/>
          <w:szCs w:val="28"/>
          <w:lang w:eastAsia="zh-CN"/>
        </w:rPr>
        <w:t>В.А. Березин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СОГЛАСОВАНО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главы администрации района,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финансового управления 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О.В. Медведкова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Заместитель гла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>вы 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района,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управления социальной работы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В.В.Логинов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Заведующий отделом экономики и 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прогнозирования администрации района  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Казаковцева</w:t>
      </w:r>
      <w:proofErr w:type="spellEnd"/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Заведующий правовым отделом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района   </w:t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4D79A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Н.В. Шибанова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Разослать: дело, УО, отдел экономики и прогнозирования, финансовое управление, прокуратура Куменского района, отдел информатизации (электронно).</w:t>
      </w:r>
    </w:p>
    <w:p w:rsidR="00B20C76" w:rsidRDefault="00B20C76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F669E" w:rsidRDefault="000E655E" w:rsidP="00B2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Березин Владимир Александрович</w:t>
      </w:r>
    </w:p>
    <w:p w:rsidR="000E655E" w:rsidRDefault="000E655E" w:rsidP="00ED4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2-11-6</w:t>
      </w:r>
      <w:r w:rsidR="005F669E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B20C76" w:rsidRDefault="00B20C76" w:rsidP="00B20C76">
      <w:pPr>
        <w:spacing w:after="0" w:line="240" w:lineRule="auto"/>
        <w:ind w:left="5245"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20C76" w:rsidRDefault="00B20C76" w:rsidP="00B20C76">
      <w:pPr>
        <w:spacing w:after="0" w:line="240" w:lineRule="auto"/>
        <w:ind w:left="5245" w:hanging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Куменского района</w:t>
      </w:r>
    </w:p>
    <w:p w:rsidR="00B20C76" w:rsidRDefault="00B20C76" w:rsidP="00B20C7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 </w:t>
      </w:r>
      <w:r w:rsidR="002C210F">
        <w:rPr>
          <w:rFonts w:ascii="Times New Roman" w:eastAsia="Times New Roman" w:hAnsi="Times New Roman" w:cs="Times New Roman"/>
          <w:sz w:val="28"/>
          <w:szCs w:val="28"/>
          <w:lang w:eastAsia="zh-CN"/>
        </w:rPr>
        <w:t>17.01.2022 № 24</w:t>
      </w:r>
    </w:p>
    <w:p w:rsidR="00B20C76" w:rsidRDefault="00B20C76" w:rsidP="00B20C76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Pr="00ED4E5F" w:rsidRDefault="00B20C76" w:rsidP="00ED4E5F">
      <w:pPr>
        <w:tabs>
          <w:tab w:val="left" w:pos="2325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D4E5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ИЗМЕНЕНИЯ</w:t>
      </w:r>
    </w:p>
    <w:p w:rsidR="00ED4E5F" w:rsidRDefault="00B20C76" w:rsidP="00ED4E5F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D4E5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в муниципальную программу «Развитие образования </w:t>
      </w:r>
    </w:p>
    <w:p w:rsidR="00B20C76" w:rsidRPr="00ED4E5F" w:rsidRDefault="00B20C76" w:rsidP="00ED4E5F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ED4E5F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в Куменском районе»</w:t>
      </w:r>
    </w:p>
    <w:p w:rsidR="00ED4E5F" w:rsidRDefault="00ED4E5F" w:rsidP="00B20C76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1. Внести изменения в паспорт </w:t>
      </w:r>
      <w:r w:rsidR="00ED4E5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м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униципальной программы «Развитие образования в Куменском районе»:</w:t>
      </w:r>
    </w:p>
    <w:p w:rsidR="00B20C76" w:rsidRDefault="00B20C76" w:rsidP="00B20C76">
      <w:pPr>
        <w:spacing w:after="0" w:line="240" w:lineRule="auto"/>
        <w:ind w:firstLine="850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4503"/>
        <w:gridCol w:w="5138"/>
      </w:tblGrid>
      <w:tr w:rsidR="00B7275D" w:rsidTr="00B7275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бюджет финансирования 1413756,9 тыс. рублей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39205,35 тыс. руб.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областной бюджет – 921944,65 тыс. руб.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районный бюджет – 452606,9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том числе по годам: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2019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–194650,0 тыс. руб., в том числе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910,8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120182,8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73556,4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2020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214904,1 тыс. руб., в том числе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2973,58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152980,62 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58949,9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2021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–244099,5 тыс. руб., в том числе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9520,67 тыс. руб.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161236,53  тыс. руб.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B7275D" w:rsidRDefault="00B7275D" w:rsidP="00101575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2022 г.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–255431,8 тыс. руб., в том числе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8655,7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167175,4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79600,7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lastRenderedPageBreak/>
              <w:t>2023 г. -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252516,7 тыс. руб., в том числе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федеральный бюджет – 8543,0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161288,4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82685,3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2024 г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. – 252154,8 тыс. руб., в том числе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федеральный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 8601,6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областной бюджет –                                 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159080,9  тыс. руб.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районный бюджет – </w:t>
            </w:r>
          </w:p>
          <w:p w:rsidR="00B7275D" w:rsidRDefault="00B7275D" w:rsidP="001015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                     84472,3 тыс. руб.</w:t>
            </w:r>
          </w:p>
        </w:tc>
      </w:tr>
      <w:tr w:rsidR="0009524A" w:rsidTr="00B7275D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24A" w:rsidRPr="0009524A" w:rsidRDefault="0009524A" w:rsidP="0009524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24A" w:rsidRDefault="0009524A" w:rsidP="0032477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роста» в рамках федерального проекта «Современная школа» национального проекта «Образование» </w:t>
            </w:r>
            <w:r w:rsidR="00324777">
              <w:rPr>
                <w:rFonts w:ascii="Times New Roman" w:hAnsi="Times New Roman" w:cs="Times New Roman"/>
                <w:sz w:val="28"/>
                <w:szCs w:val="28"/>
              </w:rPr>
              <w:t>(2019 г. – 0, 2020 г. – 0, 2021 г. – 2, 2022 г. – 1, 2023 г. – 0, 2024 г. - 0).</w:t>
            </w:r>
          </w:p>
        </w:tc>
      </w:tr>
    </w:tbl>
    <w:p w:rsidR="00B20C76" w:rsidRDefault="00B20C76" w:rsidP="0009524A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648F8" w:rsidRDefault="001648F8" w:rsidP="00164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2. Пункт 19 р</w:t>
      </w:r>
      <w:r>
        <w:rPr>
          <w:rFonts w:ascii="Times New Roman" w:hAnsi="Times New Roman" w:cs="Times New Roman"/>
          <w:sz w:val="28"/>
          <w:szCs w:val="28"/>
        </w:rPr>
        <w:t>аздела 2 «Приоритеты политики органов местного самоуправления в сфере образования Куменского района,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программы» - подраздела 2.4. «Целевые показатели эффективности программы» изложить в новой редакции:</w:t>
      </w:r>
    </w:p>
    <w:tbl>
      <w:tblPr>
        <w:tblStyle w:val="af2"/>
        <w:tblW w:w="0" w:type="auto"/>
        <w:tblLayout w:type="fixed"/>
        <w:tblLook w:val="04A0"/>
      </w:tblPr>
      <w:tblGrid>
        <w:gridCol w:w="675"/>
        <w:gridCol w:w="1701"/>
        <w:gridCol w:w="1134"/>
        <w:gridCol w:w="993"/>
        <w:gridCol w:w="992"/>
        <w:gridCol w:w="992"/>
        <w:gridCol w:w="992"/>
        <w:gridCol w:w="993"/>
        <w:gridCol w:w="992"/>
      </w:tblGrid>
      <w:tr w:rsidR="007C75E5" w:rsidTr="00314B2E">
        <w:trPr>
          <w:trHeight w:val="735"/>
        </w:trPr>
        <w:tc>
          <w:tcPr>
            <w:tcW w:w="675" w:type="dxa"/>
            <w:vMerge w:val="restart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</w:tc>
        <w:tc>
          <w:tcPr>
            <w:tcW w:w="1134" w:type="dxa"/>
            <w:vMerge w:val="restart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954" w:type="dxa"/>
            <w:gridSpan w:val="6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эффективности</w:t>
            </w:r>
          </w:p>
        </w:tc>
      </w:tr>
      <w:tr w:rsidR="007C75E5" w:rsidTr="00314B2E">
        <w:trPr>
          <w:trHeight w:val="870"/>
        </w:trPr>
        <w:tc>
          <w:tcPr>
            <w:tcW w:w="675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2022г.</w:t>
            </w: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2024г.</w:t>
            </w:r>
          </w:p>
        </w:tc>
      </w:tr>
      <w:tr w:rsidR="007C75E5" w:rsidTr="00314B2E">
        <w:tc>
          <w:tcPr>
            <w:tcW w:w="675" w:type="dxa"/>
            <w:vMerge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«Развитие образования Куменского района</w:t>
            </w:r>
          </w:p>
        </w:tc>
        <w:tc>
          <w:tcPr>
            <w:tcW w:w="1134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5E5" w:rsidTr="00314B2E">
        <w:trPr>
          <w:trHeight w:val="654"/>
        </w:trPr>
        <w:tc>
          <w:tcPr>
            <w:tcW w:w="675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701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общеобразовательных организаций, на базе которых выполнены мероприятия по подготовке образовательного пространства и созданы центры образования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134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C75E5" w:rsidRDefault="007C75E5" w:rsidP="0031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648F8" w:rsidRDefault="001648F8" w:rsidP="001648F8">
      <w:pPr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324777" w:rsidRDefault="00324777" w:rsidP="00324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3. Пункт 19 р</w:t>
      </w:r>
      <w:r>
        <w:rPr>
          <w:rFonts w:ascii="Times New Roman" w:hAnsi="Times New Roman" w:cs="Times New Roman"/>
          <w:sz w:val="28"/>
          <w:szCs w:val="28"/>
        </w:rPr>
        <w:t>аздела 2 «Приоритеты политики органов местного самоуправления  в сфере образования Куменского района,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программы» - подраздела 2.5. Ожидаемые результаты муниципальной программы» изложить в следующей редакции:</w:t>
      </w:r>
    </w:p>
    <w:p w:rsidR="00324777" w:rsidRPr="00324777" w:rsidRDefault="00324777" w:rsidP="001648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19. Количество муниципальных общеобразовательных организаций, на базе которых выполнены  мероприятия по подготовке образовательного пространства созданы центры образования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(2019г.- 0, 2020 г. – 0, 2021 г. – 2, 2022 г. – 1, 2023 г. – 0, 2024 г. – 0).</w:t>
      </w:r>
    </w:p>
    <w:p w:rsidR="00B20C76" w:rsidRDefault="00324777" w:rsidP="00B20C76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>4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bidi="hi-IN"/>
        </w:rPr>
        <w:t xml:space="preserve">.  Раздел  </w:t>
      </w:r>
      <w:r w:rsidR="00B20C76">
        <w:rPr>
          <w:rFonts w:ascii="Times New Roman" w:hAnsi="Times New Roman" w:cs="Times New Roman"/>
          <w:sz w:val="28"/>
          <w:szCs w:val="28"/>
        </w:rPr>
        <w:t>3 «Обобщенная характеристика мероприятий  муниципальной программы» муниципальной программы «Развитие образования Куменского района</w:t>
      </w:r>
      <w:proofErr w:type="gramStart"/>
      <w:r w:rsidR="00B20C7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B20C76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включает в себя разработанный комплекс мероприятий. 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«Развитие образования Куменского района».</w:t>
      </w: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Layout w:type="fixed"/>
        <w:tblLook w:val="0000"/>
      </w:tblPr>
      <w:tblGrid>
        <w:gridCol w:w="709"/>
        <w:gridCol w:w="1702"/>
        <w:gridCol w:w="2397"/>
        <w:gridCol w:w="851"/>
        <w:gridCol w:w="1004"/>
        <w:gridCol w:w="701"/>
        <w:gridCol w:w="1000"/>
        <w:gridCol w:w="851"/>
        <w:gridCol w:w="706"/>
        <w:gridCol w:w="853"/>
      </w:tblGrid>
      <w:tr w:rsidR="00380A7E" w:rsidTr="00380A7E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Ответственный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  <w:t>Исполнитель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программные мероприятия</w:t>
            </w:r>
          </w:p>
        </w:tc>
        <w:tc>
          <w:tcPr>
            <w:tcW w:w="5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Объем финансирования в 2019-2024 годах</w:t>
            </w:r>
          </w:p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(тыс. руб.)</w:t>
            </w:r>
          </w:p>
        </w:tc>
      </w:tr>
      <w:tr w:rsidR="00380A7E" w:rsidTr="00380A7E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51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в том числе</w:t>
            </w:r>
          </w:p>
        </w:tc>
      </w:tr>
      <w:tr w:rsidR="00380A7E" w:rsidTr="00986DAB">
        <w:trPr>
          <w:cantSplit/>
          <w:trHeight w:val="3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2020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2024</w:t>
            </w:r>
          </w:p>
        </w:tc>
      </w:tr>
      <w:tr w:rsidR="00380A7E" w:rsidTr="00986DAB">
        <w:trPr>
          <w:trHeight w:val="4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  <w:p w:rsidR="00B20C76" w:rsidRDefault="00B20C76" w:rsidP="00380A7E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2058,5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</w:tr>
      <w:tr w:rsidR="00380A7E" w:rsidTr="00986DAB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13423,15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92,35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57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B6577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2878,6</w:t>
            </w:r>
          </w:p>
        </w:tc>
      </w:tr>
      <w:tr w:rsidR="00380A7E" w:rsidTr="00986DAB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10113,3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2929,7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6577D" w:rsidP="00940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280</w:t>
            </w:r>
            <w:r w:rsidR="00940A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2871,7</w:t>
            </w:r>
          </w:p>
        </w:tc>
      </w:tr>
      <w:tr w:rsidR="00380A7E" w:rsidTr="00986DAB">
        <w:trPr>
          <w:trHeight w:val="19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19695,3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</w:tr>
      <w:tr w:rsidR="00380A7E" w:rsidTr="00986DAB">
        <w:trPr>
          <w:trHeight w:val="4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1400,0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102,0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92131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1.7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Управление 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Куменскогорайона</w:t>
            </w:r>
            <w:proofErr w:type="spell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1.8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80A7E" w:rsidTr="00986DAB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Управление  образования администрации Куменского района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C76" w:rsidRDefault="00B20C76" w:rsidP="00324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естественно-научной и технологической направленности "Точка роста" 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Куменского района Кировской области</w:t>
            </w:r>
            <w:r w:rsidR="00324777" w:rsidRPr="003247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общеобразовательного учреждения средняя общеобразовательная школа п. Краснооктябрьский Куменского района Кировской области</w:t>
            </w:r>
            <w:r w:rsidR="00324777" w:rsidRPr="003247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47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общеобразовательного учреждения средняя общеобразовательная школа п. </w:t>
            </w:r>
            <w:r w:rsidR="003247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Речной Куменского района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Pr="00324777" w:rsidRDefault="00324777" w:rsidP="0032477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2477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247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Pr="00324777" w:rsidRDefault="00324777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0C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380A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</w:tbl>
    <w:p w:rsidR="00380A7E" w:rsidRDefault="00380A7E" w:rsidP="00986DAB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1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подпрограммы «Развитие системы образования Куменского района».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B20C76" w:rsidTr="00101575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7F31C2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расходов,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20C76" w:rsidTr="00101575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 76333,6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- 38154,3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бюджет- 38179,3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- 30795,4 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 57346,2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B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98361,7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B20C76" w:rsidRDefault="00B92131" w:rsidP="0010157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35549,8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101575">
            <w:pPr>
              <w:widowControl w:val="0"/>
              <w:shd w:val="clear" w:color="auto" w:fill="FFFFFF" w:themeFill="background1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бюджет- 62811,9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99187,0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бюджет – 37375,6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92131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бюджет- 61811,4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99674,9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B9213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39142,7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60532,2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100228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,3 тыс. руб.,  в том числе</w:t>
            </w:r>
          </w:p>
          <w:p w:rsidR="00B20C76" w:rsidRDefault="00B9213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40274,2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92131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бюджет- 59954,1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101575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 90480,4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B20C76" w:rsidRDefault="00B20C76" w:rsidP="0010157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 w:rsidR="00B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11833</w:t>
            </w:r>
            <w:r w:rsidR="00940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921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40A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руб.,  в том числе</w:t>
            </w:r>
          </w:p>
          <w:p w:rsidR="00B20C76" w:rsidRDefault="00B92131" w:rsidP="0010157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29670,</w:t>
            </w:r>
            <w:r w:rsidR="00940A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940A64" w:rsidP="0010157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–80174,5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92131" w:rsidP="00101575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8492,</w:t>
            </w:r>
            <w:r w:rsidR="00940A6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B9213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127570,6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B9213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33460,8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85454,1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8655,7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123821,0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34778,3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80499,7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8543,0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123987,9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35433,8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79952,5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FD15E9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8601,6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B20C76" w:rsidRDefault="00B20C76" w:rsidP="00101575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B20C76" w:rsidRDefault="00B20C76" w:rsidP="00101575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FD15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– </w:t>
            </w:r>
            <w:r w:rsidR="00FD15E9" w:rsidRPr="00FD15E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8219,6 тыс. руб., в том числе</w:t>
            </w:r>
          </w:p>
          <w:p w:rsidR="00B20C76" w:rsidRDefault="00FD15E9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E045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045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7852,5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Pr="00E045D8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367,1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E045D8" w:rsidRPr="00E045D8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-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E045D8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8292,0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7742,0 тыс. руб.</w:t>
            </w:r>
          </w:p>
          <w:p w:rsidR="00B20C76" w:rsidRDefault="00D078D3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-  8758,0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8056,5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8403,0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8739,0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-  10184,7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-   9365,3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,7 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 - 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10087,9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 -   242576,1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254750,9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251835,7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-  251473,8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101575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1408438,8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Pr="007F31C2" w:rsidRDefault="007F31C2" w:rsidP="00B20C76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7F31C2">
        <w:rPr>
          <w:rFonts w:ascii="Times New Roman" w:hAnsi="Times New Roman" w:cs="Times New Roman"/>
          <w:sz w:val="24"/>
          <w:szCs w:val="24"/>
        </w:rPr>
        <w:t>5</w:t>
      </w:r>
      <w:r w:rsidR="00B20C76" w:rsidRPr="007F31C2">
        <w:rPr>
          <w:rFonts w:ascii="Times New Roman" w:hAnsi="Times New Roman" w:cs="Times New Roman"/>
          <w:sz w:val="24"/>
          <w:szCs w:val="24"/>
        </w:rPr>
        <w:t xml:space="preserve">. Раздел </w:t>
      </w:r>
      <w:r w:rsidR="00B20C76" w:rsidRP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5 «Ресурсное обеспечение муниципальной программы»</w:t>
      </w:r>
      <w:r w:rsidR="00B20C76" w:rsidRPr="007F31C2">
        <w:rPr>
          <w:rFonts w:ascii="Times New Roman" w:hAnsi="Times New Roman" w:cs="Times New Roman"/>
          <w:sz w:val="24"/>
          <w:szCs w:val="24"/>
        </w:rPr>
        <w:t xml:space="preserve"> </w:t>
      </w:r>
      <w:r w:rsidR="00B20C76" w:rsidRP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изложить в следующей редакции:</w:t>
      </w:r>
    </w:p>
    <w:p w:rsidR="00B20C76" w:rsidRPr="007F31C2" w:rsidRDefault="00B20C76" w:rsidP="007F31C2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 реализацию мероприятий  подпрограммы направляются средства бюджетов  различных уровней.</w:t>
      </w:r>
      <w:r w:rsid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Общий объем финансирования  муниципальной программы «Развитие  образования Куменск</w:t>
      </w:r>
      <w:r w:rsidR="00E045D8" w:rsidRP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ого района» составляет 1413756,9</w:t>
      </w:r>
      <w:r w:rsidRPr="007F31C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тыс. рублей.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sectPr w:rsidR="00B20C76" w:rsidSect="004D79A8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реализации  программы</w:t>
      </w:r>
    </w:p>
    <w:p w:rsidR="00B20C76" w:rsidRDefault="00B20C76" w:rsidP="00B20C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за счет всех источников финансирования</w:t>
      </w:r>
    </w:p>
    <w:p w:rsidR="00B20C76" w:rsidRDefault="00B20C76" w:rsidP="00B20C7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tbl>
      <w:tblPr>
        <w:tblW w:w="15574" w:type="dxa"/>
        <w:tblInd w:w="572" w:type="dxa"/>
        <w:tblLayout w:type="fixed"/>
        <w:tblCellMar>
          <w:left w:w="5" w:type="dxa"/>
          <w:right w:w="5" w:type="dxa"/>
        </w:tblCellMar>
        <w:tblLook w:val="0000"/>
      </w:tblPr>
      <w:tblGrid>
        <w:gridCol w:w="1618"/>
        <w:gridCol w:w="6457"/>
        <w:gridCol w:w="1984"/>
        <w:gridCol w:w="848"/>
        <w:gridCol w:w="991"/>
        <w:gridCol w:w="992"/>
        <w:gridCol w:w="850"/>
        <w:gridCol w:w="849"/>
        <w:gridCol w:w="845"/>
        <w:gridCol w:w="30"/>
        <w:gridCol w:w="40"/>
        <w:gridCol w:w="30"/>
        <w:gridCol w:w="40"/>
      </w:tblGrid>
      <w:tr w:rsidR="00B20C76" w:rsidTr="00101575">
        <w:trPr>
          <w:cantSplit/>
          <w:trHeight w:val="600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Статус</w:t>
            </w: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Наименование муниципальной программы, 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подпрограммы, ведомственной программы,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>отдельного 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Источники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финансирования</w:t>
            </w:r>
          </w:p>
        </w:tc>
        <w:tc>
          <w:tcPr>
            <w:tcW w:w="5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Оценка расходов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       (тыс. рублей)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3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2019г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2020г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2021г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2022г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2023г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2024г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2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101575">
        <w:trPr>
          <w:cantSplit/>
          <w:trHeight w:val="227"/>
        </w:trPr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Муниципальная программа «Развитие образования Куменского района»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38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9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578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92,35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445,4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E045D8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E045D8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2878,6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бесплатного горячего питания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в муниципальных образовательных организациях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1133,7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2883,5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2808,7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2871,7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1066,18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2711,869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2726,4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2613,7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2672,3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56,12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142,730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166,9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170,6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28,8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5929,3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эксплуатации, в муниципальном казенном общеобразовательном учреждении основная общеобразовательная школа д. Большой Перелаз Куменского района Кировской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с. Березник Куменского района Кировской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580,3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100,95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574,4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1,05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средняя общеобразовательная школа п. Речной Куменского района Кировской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252,45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соответствии с требованиями к антитеррористической защищенности объекта (территорий) 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ВичёвщинаКуменского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237,6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6034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подготовке образовательного пространства в муниципальных общеобразовательных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которых создаются центры образования естественно-научной и технологической направленности "Точка роста" (муниципального общеобразовательного учреждения средняя общеобразовательная школа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Вичёвщина</w:t>
            </w:r>
            <w:proofErr w:type="spellEnd"/>
            <w:r w:rsidR="0031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Куменского района Кировской области и муниципального общеобразовательного учреждения средняя общеобразовательная школа п. Краснооктябрьский Куменского района Кировской области</w:t>
            </w:r>
          </w:p>
          <w:p w:rsidR="00B20C76" w:rsidRPr="006A6034" w:rsidRDefault="006A6034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средняя общеобразовательная школа п. Речной Куменского района Кировской области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всего 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федеральный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местный бюджет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600"/>
        </w:trPr>
        <w:tc>
          <w:tcPr>
            <w:tcW w:w="1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t xml:space="preserve">иные        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внебюджетные   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2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0" w:type="dxa"/>
          </w:tcPr>
          <w:p w:rsidR="00B20C76" w:rsidRDefault="00B20C76" w:rsidP="00101575">
            <w:pPr>
              <w:widowControl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sectPr w:rsidR="00B20C76" w:rsidSect="004D79A8">
          <w:pgSz w:w="16838" w:h="11906" w:orient="landscape"/>
          <w:pgMar w:top="1701" w:right="1134" w:bottom="568" w:left="284" w:header="0" w:footer="0" w:gutter="0"/>
          <w:cols w:space="720"/>
          <w:formProt w:val="0"/>
          <w:docGrid w:linePitch="360" w:charSpace="4096"/>
        </w:sectPr>
      </w:pPr>
    </w:p>
    <w:p w:rsidR="00B20C76" w:rsidRDefault="00B20C76" w:rsidP="00B20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Расходы на реализацию муниципальной программы за счет средств местного бюджета.</w:t>
      </w:r>
    </w:p>
    <w:tbl>
      <w:tblPr>
        <w:tblW w:w="9781" w:type="dxa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2126"/>
        <w:gridCol w:w="2269"/>
        <w:gridCol w:w="709"/>
        <w:gridCol w:w="708"/>
        <w:gridCol w:w="708"/>
        <w:gridCol w:w="709"/>
        <w:gridCol w:w="709"/>
        <w:gridCol w:w="708"/>
      </w:tblGrid>
      <w:tr w:rsidR="00B20C76" w:rsidTr="00101575">
        <w:trPr>
          <w:cantSplit/>
          <w:trHeight w:val="38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B20C76" w:rsidTr="00101575">
        <w:trPr>
          <w:cantSplit/>
          <w:trHeight w:val="181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101575">
        <w:trPr>
          <w:cantSplit/>
          <w:trHeight w:val="37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79600,8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101575">
        <w:trPr>
          <w:cantSplit/>
          <w:trHeight w:val="243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79600,8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101575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13"/>
              <w:widowControl w:val="0"/>
              <w:spacing w:after="0" w:line="240" w:lineRule="auto"/>
              <w:ind w:left="0" w:firstLine="2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5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101575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1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101575">
        <w:trPr>
          <w:trHeight w:val="7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58949,9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79267,1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</w:tbl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реализации программы за счет всех источников финансирования</w:t>
      </w:r>
    </w:p>
    <w:tbl>
      <w:tblPr>
        <w:tblW w:w="10533" w:type="dxa"/>
        <w:tblInd w:w="-8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96"/>
        <w:gridCol w:w="2125"/>
        <w:gridCol w:w="1772"/>
        <w:gridCol w:w="888"/>
        <w:gridCol w:w="886"/>
        <w:gridCol w:w="888"/>
        <w:gridCol w:w="886"/>
        <w:gridCol w:w="893"/>
        <w:gridCol w:w="853"/>
        <w:gridCol w:w="246"/>
      </w:tblGrid>
      <w:tr w:rsidR="00B20C76" w:rsidTr="002D1DD0">
        <w:trPr>
          <w:cantSplit/>
          <w:trHeight w:val="582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B20C76" w:rsidTr="002D1DD0">
        <w:trPr>
          <w:cantSplit/>
          <w:trHeight w:val="32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2D1DD0">
        <w:trPr>
          <w:cantSplit/>
          <w:trHeight w:val="219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образования Куменского района»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194650,0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654DB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244099,5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255431,8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252516,7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252154,8</w:t>
            </w:r>
          </w:p>
        </w:tc>
      </w:tr>
      <w:tr w:rsidR="00B20C76" w:rsidTr="002D1DD0">
        <w:trPr>
          <w:cantSplit/>
          <w:trHeight w:val="459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9520,67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8655,7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2D1DD0">
        <w:trPr>
          <w:cantSplit/>
          <w:trHeight w:val="459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tabs>
                <w:tab w:val="left" w:pos="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120182,8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161236,53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167175,4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161288,4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159080,9</w:t>
            </w:r>
          </w:p>
        </w:tc>
      </w:tr>
      <w:tr w:rsidR="00B20C76" w:rsidTr="002D1DD0">
        <w:trPr>
          <w:cantSplit/>
          <w:trHeight w:val="153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73556,4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73342,3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8A5C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79600,7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82685,3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84472,3</w:t>
            </w:r>
          </w:p>
        </w:tc>
      </w:tr>
      <w:tr w:rsidR="00B20C76" w:rsidTr="002D1DD0">
        <w:trPr>
          <w:cantSplit/>
          <w:trHeight w:val="582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245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474,1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680,9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</w:tr>
      <w:tr w:rsidR="00B20C76" w:rsidTr="002D1DD0">
        <w:trPr>
          <w:cantSplit/>
          <w:trHeight w:val="58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58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214,8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CD58D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</w:t>
            </w:r>
            <w:r w:rsidR="00CD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</w:tr>
      <w:tr w:rsidR="00B20C76" w:rsidTr="002D1DD0">
        <w:trPr>
          <w:cantSplit/>
          <w:trHeight w:val="31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2D1DD0">
        <w:trPr>
          <w:cantSplit/>
          <w:trHeight w:val="42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285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1009,2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1049,3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B20C76" w:rsidTr="002D1DD0">
        <w:trPr>
          <w:cantSplit/>
          <w:trHeight w:val="46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910,8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1028,4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46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10,4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285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21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2D1DD0">
        <w:trPr>
          <w:cantSplit/>
          <w:trHeight w:val="487"/>
        </w:trPr>
        <w:tc>
          <w:tcPr>
            <w:tcW w:w="1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Куменского района»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254750,9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</w:p>
        </w:tc>
      </w:tr>
      <w:tr w:rsidR="00B20C76" w:rsidTr="002D1DD0">
        <w:trPr>
          <w:cantSplit/>
          <w:trHeight w:val="900"/>
        </w:trPr>
        <w:tc>
          <w:tcPr>
            <w:tcW w:w="1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8492,27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A5C6C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8655,7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2D1DD0">
        <w:trPr>
          <w:trHeight w:val="45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161011,33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166828,1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160941,0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158733,5</w:t>
            </w:r>
          </w:p>
        </w:tc>
      </w:tr>
      <w:tr w:rsidR="00B20C76" w:rsidTr="002D1DD0">
        <w:trPr>
          <w:cantSplit/>
          <w:trHeight w:val="450"/>
        </w:trPr>
        <w:tc>
          <w:tcPr>
            <w:tcW w:w="10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72967,1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165BD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2D1DD0">
        <w:trPr>
          <w:cantSplit/>
          <w:trHeight w:val="117"/>
        </w:trPr>
        <w:tc>
          <w:tcPr>
            <w:tcW w:w="10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7F31C2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0C76">
        <w:rPr>
          <w:rFonts w:ascii="Times New Roman" w:hAnsi="Times New Roman" w:cs="Times New Roman"/>
          <w:sz w:val="28"/>
          <w:szCs w:val="28"/>
        </w:rPr>
        <w:t xml:space="preserve">. Внести изменения в паспорт подпрограммы </w:t>
      </w:r>
      <w:r w:rsidR="00B20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системы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621" w:type="dxa"/>
        <w:tblInd w:w="-25" w:type="dxa"/>
        <w:tblLayout w:type="fixed"/>
        <w:tblLook w:val="0000"/>
      </w:tblPr>
      <w:tblGrid>
        <w:gridCol w:w="4502"/>
        <w:gridCol w:w="5119"/>
      </w:tblGrid>
      <w:tr w:rsidR="00B20C76" w:rsidTr="00101575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ассигнований  подпрограммы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бюджет финансирования </w:t>
            </w:r>
            <w:r w:rsidR="003059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1408438,8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37266,15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920322,85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450849,8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119828,3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73069,9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214904,1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- 2973,58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Liberation Serif" w:hAnsi="Times New Roman" w:cs="Times New Roman"/>
                <w:sz w:val="28"/>
                <w:szCs w:val="28"/>
              </w:rPr>
              <w:t>152980,62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58949,9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руб.,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8492,27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</w:t>
            </w:r>
            <w:r w:rsidR="0030597F">
              <w:rPr>
                <w:rFonts w:ascii="Times New Roman" w:hAnsi="Times New Roman" w:cs="Times New Roman"/>
                <w:sz w:val="28"/>
                <w:szCs w:val="28"/>
              </w:rPr>
              <w:t>т – 161011,33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73072,5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254750,9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8655,7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20C76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166828,1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79267,1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</w:t>
            </w:r>
            <w:r w:rsidR="0030597F">
              <w:rPr>
                <w:rFonts w:ascii="Times New Roman" w:hAnsi="Times New Roman" w:cs="Times New Roman"/>
                <w:sz w:val="28"/>
                <w:szCs w:val="28"/>
              </w:rPr>
              <w:t>еральный бюджет – 8543,0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160941,0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158733,5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76" w:rsidRDefault="007F31C2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7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Раздел «Обобщенная характеристика мероприятий  подпрограммы» подпрограммы </w:t>
      </w:r>
      <w:r w:rsidR="00B20C7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реализации   подпрограммы включает в себя разработанный комплекс мероприятий. </w:t>
      </w: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94"/>
        <w:gridCol w:w="5704"/>
      </w:tblGrid>
      <w:tr w:rsidR="00B20C76" w:rsidTr="00101575">
        <w:trPr>
          <w:cantSplit/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  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B20C76" w:rsidTr="00101575">
        <w:trPr>
          <w:cantSplit/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   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76333,6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38154,3 тыс. руб.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38179,3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88141,6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30795,4  тыс. руб.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Областной бюджет –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57346,2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98361,7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35549,8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Default="0030597F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 62811,9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99187,0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37375,6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30597F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61811,4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99674,9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39142,7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30597F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60532,2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100228,3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40274,2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tabs>
                <w:tab w:val="left" w:pos="3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59954,1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101575">
        <w:trPr>
          <w:cantSplit/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дополнительного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образования         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образовательных учреждений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90480,4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27308,1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63172,3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101725,5 тыс. руб.,  в том числе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20224,8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78527,12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2973,58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11833</w:t>
            </w:r>
            <w:r w:rsidR="00CD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="0030597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CD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30597F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– 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29670,</w:t>
            </w:r>
            <w:r w:rsidR="00CD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джет – 80174,</w:t>
            </w:r>
            <w:r w:rsidR="00CD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8492,</w:t>
            </w:r>
            <w:r w:rsidR="00CD58D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– 127570,6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33460,8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85454,1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8655,7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123821,0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34778,3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80499,7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– 8543,0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  <w:r w:rsid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– 123987,9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руб.,  в том числе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35433,8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CD58D4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79952,5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D58D4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Федеральный бюджет - 8601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,</w:t>
            </w:r>
            <w:r w:rsidR="003E1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 тыс</w:t>
            </w:r>
            <w:proofErr w:type="gramStart"/>
            <w:r w:rsidR="003E1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.р</w:t>
            </w:r>
            <w:proofErr w:type="gramEnd"/>
            <w:r w:rsidR="003E1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уб.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методологической,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   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методической, бухгалтерской,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хозяйственно-эксплу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2019год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7607,5 тыс. руб.</w:t>
            </w:r>
          </w:p>
          <w:p w:rsidR="00B20C76" w:rsidRDefault="00B20C76" w:rsidP="00101575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2020 год</w:t>
            </w:r>
          </w:p>
          <w:p w:rsidR="00B20C76" w:rsidRDefault="00B20C76" w:rsidP="00101575">
            <w:pPr>
              <w:widowControl w:val="0"/>
              <w:tabs>
                <w:tab w:val="left" w:pos="13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Районный бюджет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 7929,7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 год</w:t>
            </w:r>
            <w:r w:rsidR="00C16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– </w:t>
            </w:r>
            <w:r w:rsidR="00C16E8A" w:rsidRP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8219,6 тыс. руб., в том числе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–7852,5 тыс. руб.</w:t>
            </w:r>
          </w:p>
          <w:p w:rsidR="00C16E8A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 – 367,1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6E8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Районный бюджет – 8430,7  тыс. руб.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2019 г. </w:t>
            </w:r>
            <w:r w:rsidR="00D72B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8292,0 тыс. руб.</w:t>
            </w:r>
          </w:p>
          <w:p w:rsidR="00B20C76" w:rsidRDefault="00D72BE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2020 г. –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7742,0 тыс. руб.</w:t>
            </w:r>
          </w:p>
          <w:p w:rsidR="00B20C76" w:rsidRDefault="00D72BE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г. – </w:t>
            </w:r>
            <w:r w:rsidR="003E1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8758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</w:t>
            </w:r>
            <w:r w:rsidR="003E1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</w:t>
            </w:r>
            <w:r w:rsidR="00D72B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8056,5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8403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 тыс. руб.</w:t>
            </w:r>
          </w:p>
          <w:p w:rsidR="00B20C76" w:rsidRDefault="00C16E8A" w:rsidP="003E17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8</w:t>
            </w:r>
            <w:r w:rsidR="003E176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39,0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Областной бюджет-</w:t>
            </w:r>
          </w:p>
          <w:p w:rsidR="00B20C76" w:rsidRDefault="00D72BE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2019 г.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10184,7 тыс. руб.</w:t>
            </w:r>
          </w:p>
          <w:p w:rsidR="00B20C76" w:rsidRDefault="00D72BE1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2020 г. –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9365,3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 г. – 8899,7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2022 г. </w:t>
            </w:r>
            <w:r w:rsidR="00D72BE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 – 11506,1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 – 10087,9</w:t>
            </w:r>
            <w:r w:rsidR="00B20C7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тыс. руб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.</w:t>
            </w:r>
          </w:p>
        </w:tc>
      </w:tr>
      <w:tr w:rsidR="00B20C76" w:rsidTr="00101575">
        <w:trPr>
          <w:cantSplit/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2019 год – 192898,2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2020 год  -  </w:t>
            </w: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 xml:space="preserve">214904,1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2021 </w:t>
            </w:r>
            <w:r w:rsidR="00C16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год -   242576,1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 год  -  254750,9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 год –  251835,7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C16E8A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2024 год – 251473,8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20C76" w:rsidTr="00101575">
        <w:trPr>
          <w:cantSplit/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5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1408438,8 </w:t>
            </w:r>
            <w:r w:rsidR="00B2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0C76" w:rsidRDefault="002D1DD0" w:rsidP="00B20C7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Раздел «Ресурсное обеспечение подпрограммы» подпрограммы </w:t>
      </w:r>
      <w:r w:rsidR="00B20C76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«Развитие  образования Куменского района»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изложить в следующей редакции:</w:t>
      </w:r>
    </w:p>
    <w:p w:rsidR="00B20C76" w:rsidRDefault="00B20C76" w:rsidP="00B20C7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Общий объем финансирования  подпрограммы «Развитие системы образования Куменского района»  составляет </w:t>
      </w:r>
      <w:r w:rsidR="008E7F27" w:rsidRPr="008E7F2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1408438,8 </w:t>
      </w:r>
      <w:r w:rsidR="008E7F2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рублей.</w:t>
      </w: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0C76" w:rsidRDefault="00B20C76" w:rsidP="00B20C76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Расходы на реализацию подпрограммы за счет средств местного бюджета.</w:t>
      </w:r>
    </w:p>
    <w:tbl>
      <w:tblPr>
        <w:tblW w:w="10645" w:type="dxa"/>
        <w:tblInd w:w="-6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1985"/>
        <w:gridCol w:w="2268"/>
        <w:gridCol w:w="851"/>
        <w:gridCol w:w="849"/>
        <w:gridCol w:w="993"/>
        <w:gridCol w:w="851"/>
        <w:gridCol w:w="992"/>
        <w:gridCol w:w="836"/>
      </w:tblGrid>
      <w:tr w:rsidR="00B20C76" w:rsidTr="00101575">
        <w:trPr>
          <w:cantSplit/>
          <w:trHeight w:val="381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подпрограммы,</w:t>
            </w: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(тыс. рублей)</w:t>
            </w:r>
          </w:p>
        </w:tc>
      </w:tr>
      <w:tr w:rsidR="00B20C76" w:rsidTr="00101575">
        <w:trPr>
          <w:cantSplit/>
          <w:trHeight w:val="2289"/>
        </w:trPr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101575">
        <w:trPr>
          <w:cantSplit/>
          <w:trHeight w:val="377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«Развитие  системы образования Куменского района»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101575">
        <w:trPr>
          <w:cantSplit/>
          <w:trHeight w:val="763"/>
        </w:trPr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DD0" w:rsidRDefault="002D1DD0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1DD0" w:rsidRDefault="002D1DD0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1DD0" w:rsidRDefault="002D1DD0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tbl>
      <w:tblPr>
        <w:tblW w:w="10632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4"/>
        <w:gridCol w:w="2126"/>
        <w:gridCol w:w="1985"/>
        <w:gridCol w:w="849"/>
        <w:gridCol w:w="992"/>
        <w:gridCol w:w="993"/>
        <w:gridCol w:w="851"/>
        <w:gridCol w:w="992"/>
        <w:gridCol w:w="850"/>
      </w:tblGrid>
      <w:tr w:rsidR="00B20C76" w:rsidTr="00101575">
        <w:trPr>
          <w:cantSplit/>
          <w:trHeight w:val="58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   финансирования</w:t>
            </w:r>
          </w:p>
        </w:tc>
        <w:tc>
          <w:tcPr>
            <w:tcW w:w="5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расходов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(тыс. рублей)</w:t>
            </w:r>
          </w:p>
        </w:tc>
      </w:tr>
      <w:tr w:rsidR="00B20C76" w:rsidTr="00101575">
        <w:trPr>
          <w:cantSplit/>
          <w:trHeight w:val="322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20C76" w:rsidTr="00101575">
        <w:trPr>
          <w:cantSplit/>
          <w:trHeight w:val="48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Куменского района» 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192898,2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214904,1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242576,1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254750,9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251835,7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251473,8</w:t>
            </w:r>
          </w:p>
        </w:tc>
      </w:tr>
      <w:tr w:rsidR="00B20C76" w:rsidTr="00101575">
        <w:trPr>
          <w:cantSplit/>
          <w:trHeight w:val="450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2973,58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8492,27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8655,7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8601,6</w:t>
            </w:r>
          </w:p>
        </w:tc>
      </w:tr>
      <w:tr w:rsidR="00B20C76" w:rsidTr="00101575">
        <w:trPr>
          <w:trHeight w:val="450"/>
        </w:trPr>
        <w:tc>
          <w:tcPr>
            <w:tcW w:w="993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119828,3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152980,62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161011,33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166828,1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160941,0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158733,5</w:t>
            </w:r>
          </w:p>
        </w:tc>
      </w:tr>
      <w:tr w:rsidR="00B20C76" w:rsidTr="00101575">
        <w:trPr>
          <w:cantSplit/>
          <w:trHeight w:val="450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73069,9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58949,9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73072,5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79267,1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82351,7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8E7F27" w:rsidP="00101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84138,7</w:t>
            </w:r>
          </w:p>
        </w:tc>
      </w:tr>
      <w:tr w:rsidR="00B20C76" w:rsidTr="00101575">
        <w:trPr>
          <w:cantSplit/>
          <w:trHeight w:val="11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C76" w:rsidRDefault="002D1DD0" w:rsidP="00B20C76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0C76">
        <w:rPr>
          <w:rFonts w:ascii="Times New Roman" w:hAnsi="Times New Roman" w:cs="Times New Roman"/>
          <w:sz w:val="28"/>
          <w:szCs w:val="28"/>
        </w:rPr>
        <w:t xml:space="preserve">. Внести изменения в паспорт подпрограммы </w:t>
      </w:r>
      <w:r w:rsidR="00B20C7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B20C76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несовершеннолетних в дни школьных каникул в  Куменском районе</w:t>
      </w:r>
      <w:r w:rsidR="00B20C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B20C7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части объемов ассигнований:</w:t>
      </w:r>
    </w:p>
    <w:tbl>
      <w:tblPr>
        <w:tblW w:w="944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1"/>
        <w:gridCol w:w="6043"/>
      </w:tblGrid>
      <w:tr w:rsidR="00B20C76" w:rsidTr="00101575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   ассигнований    подпрограммы                                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8E7F27">
              <w:rPr>
                <w:rFonts w:ascii="Times New Roman" w:hAnsi="Times New Roman" w:cs="Times New Roman"/>
                <w:sz w:val="28"/>
                <w:szCs w:val="28"/>
              </w:rPr>
              <w:t>ий бюджет финансирования  3259,6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20C76" w:rsidRDefault="008E7F27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1563,5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8E7F27">
              <w:rPr>
                <w:rFonts w:ascii="Times New Roman" w:hAnsi="Times New Roman" w:cs="Times New Roman"/>
                <w:sz w:val="28"/>
                <w:szCs w:val="28"/>
              </w:rPr>
              <w:t>йонный бюджет –  1696,1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742,6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306,6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436,0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0,0 тыс. руб., в том числе 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–0,0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0,0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 г.</w:t>
            </w:r>
            <w:r w:rsidR="008E7F27">
              <w:rPr>
                <w:rFonts w:ascii="Times New Roman" w:hAnsi="Times New Roman" w:cs="Times New Roman"/>
                <w:sz w:val="28"/>
                <w:szCs w:val="28"/>
              </w:rPr>
              <w:t xml:space="preserve"> – 474,1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</w:t>
            </w:r>
          </w:p>
          <w:p w:rsidR="00B20C76" w:rsidRDefault="008E7F27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214,8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8E7F27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259,3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 г.</w:t>
            </w:r>
            <w:r w:rsidR="008E7F27">
              <w:rPr>
                <w:rFonts w:ascii="Times New Roman" w:hAnsi="Times New Roman" w:cs="Times New Roman"/>
                <w:sz w:val="28"/>
                <w:szCs w:val="28"/>
              </w:rPr>
              <w:t xml:space="preserve"> –  680,9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</w:t>
            </w:r>
          </w:p>
          <w:p w:rsidR="00B20C76" w:rsidRDefault="008E7F27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347,3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8E7F27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333,6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г.</w:t>
            </w:r>
            <w:r w:rsidR="008E7F27">
              <w:rPr>
                <w:rFonts w:ascii="Times New Roman" w:hAnsi="Times New Roman" w:cs="Times New Roman"/>
                <w:sz w:val="28"/>
                <w:szCs w:val="28"/>
              </w:rPr>
              <w:t xml:space="preserve"> – 681,0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347,4 тыс. руб.</w:t>
            </w:r>
          </w:p>
          <w:p w:rsidR="00B20C76" w:rsidRDefault="008E7F27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– 333,6</w:t>
            </w:r>
            <w:r w:rsidR="00B20C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– </w:t>
            </w:r>
            <w:r w:rsid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20C76" w:rsidRDefault="00B20C76" w:rsidP="0010157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– </w:t>
            </w:r>
            <w:r w:rsidR="008E7F2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C76" w:rsidRDefault="002D1DD0" w:rsidP="00B20C76">
      <w:pPr>
        <w:pStyle w:val="af0"/>
        <w:spacing w:after="0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20C76">
        <w:rPr>
          <w:sz w:val="28"/>
          <w:szCs w:val="28"/>
        </w:rPr>
        <w:t xml:space="preserve">Раздел  5 «Ресурсное обеспечение  подпрограммы» </w:t>
      </w:r>
      <w:r w:rsidR="00B20C76">
        <w:rPr>
          <w:rFonts w:eastAsia="SimSun"/>
          <w:sz w:val="28"/>
          <w:szCs w:val="28"/>
        </w:rPr>
        <w:t xml:space="preserve">подпрограммы </w:t>
      </w:r>
      <w:r w:rsidR="00B20C76">
        <w:rPr>
          <w:rFonts w:eastAsia="SimSun"/>
          <w:color w:val="000000"/>
          <w:sz w:val="28"/>
          <w:szCs w:val="28"/>
        </w:rPr>
        <w:t>«</w:t>
      </w:r>
      <w:r w:rsidR="00B20C76">
        <w:rPr>
          <w:sz w:val="28"/>
          <w:szCs w:val="28"/>
        </w:rPr>
        <w:t>Организация отдыха, оздоровления и занятости несовершеннолетних в дни школьных каникул в  Куменском районе</w:t>
      </w:r>
      <w:r w:rsidR="00B20C76">
        <w:rPr>
          <w:rFonts w:eastAsia="SimSun"/>
          <w:color w:val="000000"/>
          <w:sz w:val="28"/>
          <w:szCs w:val="28"/>
        </w:rPr>
        <w:t xml:space="preserve">» </w:t>
      </w:r>
      <w:r w:rsidR="00B20C76">
        <w:rPr>
          <w:rFonts w:eastAsia="SimSun"/>
          <w:sz w:val="28"/>
          <w:szCs w:val="28"/>
        </w:rPr>
        <w:t>изложить в следующей редакции:</w:t>
      </w:r>
    </w:p>
    <w:p w:rsidR="00B20C76" w:rsidRDefault="00B20C76" w:rsidP="00B20C76">
      <w:pPr>
        <w:pStyle w:val="af0"/>
        <w:tabs>
          <w:tab w:val="left" w:pos="5220"/>
        </w:tabs>
        <w:spacing w:after="0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 </w:t>
      </w:r>
    </w:p>
    <w:p w:rsidR="00B20C76" w:rsidRDefault="00B20C76" w:rsidP="00B20C76">
      <w:pPr>
        <w:pStyle w:val="af0"/>
        <w:tabs>
          <w:tab w:val="left" w:pos="52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 Общий объём финансирования Подпрограммы в</w:t>
      </w:r>
      <w:r w:rsidR="000B4C77">
        <w:rPr>
          <w:sz w:val="28"/>
          <w:szCs w:val="28"/>
        </w:rPr>
        <w:t xml:space="preserve"> 2019-2024 годах составит 3259,6</w:t>
      </w:r>
      <w:r>
        <w:rPr>
          <w:sz w:val="28"/>
          <w:szCs w:val="28"/>
        </w:rPr>
        <w:t xml:space="preserve"> тыс. руб.</w:t>
      </w:r>
    </w:p>
    <w:p w:rsidR="00B20C76" w:rsidRDefault="00B20C76" w:rsidP="00B20C76">
      <w:pPr>
        <w:pStyle w:val="af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подпрограммы будет осуществляться на основе межотраслевого взаимодействия, в соответствии с перечнем основных мероприятий по реализации поставленных задач, в установленные сроки. Реализация мероприятий будет осуществляться за счет средств районного бюджета и  субсидии </w:t>
      </w:r>
      <w:proofErr w:type="gramStart"/>
      <w:r>
        <w:rPr>
          <w:sz w:val="28"/>
          <w:szCs w:val="28"/>
        </w:rPr>
        <w:t>из областного бюджета на оплату стоимости питания для детей в оздоровительных учреждениях с дневным пребыванием</w:t>
      </w:r>
      <w:proofErr w:type="gramEnd"/>
      <w:r>
        <w:rPr>
          <w:sz w:val="28"/>
          <w:szCs w:val="28"/>
        </w:rPr>
        <w:t>.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реализацию  подпрограммы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местного бюджета</w:t>
      </w:r>
    </w:p>
    <w:tbl>
      <w:tblPr>
        <w:tblW w:w="10206" w:type="dxa"/>
        <w:tblInd w:w="-562" w:type="dxa"/>
        <w:tblLayout w:type="fixed"/>
        <w:tblCellMar>
          <w:left w:w="5" w:type="dxa"/>
          <w:right w:w="0" w:type="dxa"/>
        </w:tblCellMar>
        <w:tblLook w:val="0000"/>
      </w:tblPr>
      <w:tblGrid>
        <w:gridCol w:w="994"/>
        <w:gridCol w:w="1842"/>
        <w:gridCol w:w="1985"/>
        <w:gridCol w:w="850"/>
        <w:gridCol w:w="850"/>
        <w:gridCol w:w="850"/>
        <w:gridCol w:w="993"/>
        <w:gridCol w:w="850"/>
        <w:gridCol w:w="992"/>
      </w:tblGrid>
      <w:tr w:rsidR="00B20C76" w:rsidTr="00101575">
        <w:trPr>
          <w:cantSplit/>
          <w:trHeight w:val="4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подпрограммы,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исполнитель,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соисполнители,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заказчик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заказчик-коорд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</w:tr>
      <w:tr w:rsidR="00B20C76" w:rsidTr="00101575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B20C76" w:rsidTr="00101575">
        <w:trPr>
          <w:cantSplit/>
          <w:trHeight w:val="8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"Организация отдыха, оздоровления и занятости несовершеннолетних в дни школьных каникул в  Куменском районе»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  <w:tr w:rsidR="00B20C76" w:rsidTr="00101575">
        <w:trPr>
          <w:cantSplit/>
          <w:trHeight w:val="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Управление образования администрации Куменского района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0B4C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0B4C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0B4C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</w:tr>
    </w:tbl>
    <w:p w:rsidR="00B20C76" w:rsidRDefault="00B20C76" w:rsidP="00B20C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1DD0" w:rsidRDefault="002D1DD0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1DD0" w:rsidRDefault="002D1DD0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1DD0" w:rsidRDefault="002D1DD0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Прогнозная (справочная) оценка ресурсного обеспечения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B20C76" w:rsidRDefault="00B20C76" w:rsidP="00B20C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всех источников финансирования</w:t>
      </w:r>
    </w:p>
    <w:p w:rsidR="00B20C76" w:rsidRDefault="00B20C76" w:rsidP="00B20C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72" w:type="dxa"/>
        <w:tblInd w:w="-562" w:type="dxa"/>
        <w:tblLayout w:type="fixed"/>
        <w:tblCellMar>
          <w:left w:w="5" w:type="dxa"/>
          <w:right w:w="0" w:type="dxa"/>
        </w:tblCellMar>
        <w:tblLook w:val="0000"/>
      </w:tblPr>
      <w:tblGrid>
        <w:gridCol w:w="993"/>
        <w:gridCol w:w="1841"/>
        <w:gridCol w:w="1982"/>
        <w:gridCol w:w="849"/>
        <w:gridCol w:w="851"/>
        <w:gridCol w:w="848"/>
        <w:gridCol w:w="1000"/>
        <w:gridCol w:w="842"/>
        <w:gridCol w:w="996"/>
        <w:gridCol w:w="725"/>
        <w:gridCol w:w="40"/>
        <w:gridCol w:w="40"/>
        <w:gridCol w:w="40"/>
        <w:gridCol w:w="25"/>
      </w:tblGrid>
      <w:tr w:rsidR="00B20C76" w:rsidTr="000B4C77">
        <w:trPr>
          <w:cantSplit/>
          <w:trHeight w:val="60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муниципальной 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(тыс. рублей)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0B4C77">
        <w:trPr>
          <w:cantSplit/>
          <w:trHeight w:val="24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0B4C77">
        <w:trPr>
          <w:cantSplit/>
          <w:trHeight w:val="227"/>
        </w:trPr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 </w:t>
            </w:r>
          </w:p>
        </w:tc>
        <w:tc>
          <w:tcPr>
            <w:tcW w:w="184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</w:t>
            </w: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"Организация отдыха, оздоровления и занятости несовершеннолетних в дни школьных каникул в  Куменском районе»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742,6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474,1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680,9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681,0</w:t>
            </w:r>
          </w:p>
        </w:tc>
        <w:tc>
          <w:tcPr>
            <w:tcW w:w="87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C76" w:rsidTr="000B4C77">
        <w:trPr>
          <w:cantSplit/>
          <w:trHeight w:val="473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         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0B4C77">
        <w:trPr>
          <w:cantSplit/>
          <w:trHeight w:val="27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306,6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214,8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347,3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347,4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0B4C77">
        <w:trPr>
          <w:cantSplit/>
          <w:trHeight w:val="15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436,0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259,3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C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0B4C77" w:rsidP="001015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B4C7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333,6</w:t>
            </w: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B20C76" w:rsidTr="000B4C77">
        <w:trPr>
          <w:cantSplit/>
          <w:trHeight w:val="60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внебюджетные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источники      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dxa"/>
            <w:tcBorders>
              <w:left w:val="single" w:sz="4" w:space="0" w:color="000000"/>
            </w:tcBorders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20C76" w:rsidRDefault="00B20C76" w:rsidP="00101575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" w:type="dxa"/>
          </w:tcPr>
          <w:p w:rsidR="00B20C76" w:rsidRDefault="00B20C76" w:rsidP="00101575">
            <w:pPr>
              <w:widowControl w:val="0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B20C76" w:rsidRDefault="00B20C76" w:rsidP="00B2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20C76" w:rsidRDefault="00B20C76" w:rsidP="00B20C76">
      <w:pP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41735F" w:rsidRDefault="0041735F"/>
    <w:sectPr w:rsidR="0041735F" w:rsidSect="004D79A8">
      <w:pgSz w:w="11906" w:h="16838"/>
      <w:pgMar w:top="1134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0C76"/>
    <w:rsid w:val="00044AE9"/>
    <w:rsid w:val="00053656"/>
    <w:rsid w:val="000654DB"/>
    <w:rsid w:val="0009524A"/>
    <w:rsid w:val="000B4C77"/>
    <w:rsid w:val="000E655E"/>
    <w:rsid w:val="00101575"/>
    <w:rsid w:val="001648F8"/>
    <w:rsid w:val="00165BD6"/>
    <w:rsid w:val="002C210F"/>
    <w:rsid w:val="002D1DD0"/>
    <w:rsid w:val="0030597F"/>
    <w:rsid w:val="00314B2E"/>
    <w:rsid w:val="00324777"/>
    <w:rsid w:val="00370E37"/>
    <w:rsid w:val="00380A7E"/>
    <w:rsid w:val="003E176F"/>
    <w:rsid w:val="0041735F"/>
    <w:rsid w:val="004D79A8"/>
    <w:rsid w:val="005B35ED"/>
    <w:rsid w:val="005F669E"/>
    <w:rsid w:val="00663B59"/>
    <w:rsid w:val="006A6034"/>
    <w:rsid w:val="006D3A72"/>
    <w:rsid w:val="007C75E5"/>
    <w:rsid w:val="007F31C2"/>
    <w:rsid w:val="008A5C6C"/>
    <w:rsid w:val="008E7F27"/>
    <w:rsid w:val="008F1EAD"/>
    <w:rsid w:val="00940A64"/>
    <w:rsid w:val="00986DAB"/>
    <w:rsid w:val="009B39FB"/>
    <w:rsid w:val="00B12488"/>
    <w:rsid w:val="00B20C76"/>
    <w:rsid w:val="00B6577D"/>
    <w:rsid w:val="00B7275D"/>
    <w:rsid w:val="00B92131"/>
    <w:rsid w:val="00C16E8A"/>
    <w:rsid w:val="00CD58D4"/>
    <w:rsid w:val="00D078D3"/>
    <w:rsid w:val="00D72BE1"/>
    <w:rsid w:val="00E045D8"/>
    <w:rsid w:val="00ED4E5F"/>
    <w:rsid w:val="00F90113"/>
    <w:rsid w:val="00FD15E9"/>
    <w:rsid w:val="00FD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6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B20C7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20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20C76"/>
    <w:rPr>
      <w:b/>
      <w:bCs/>
    </w:rPr>
  </w:style>
  <w:style w:type="paragraph" w:customStyle="1" w:styleId="a8">
    <w:name w:val="Заголовок"/>
    <w:basedOn w:val="a"/>
    <w:next w:val="a9"/>
    <w:qFormat/>
    <w:rsid w:val="00B20C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20C76"/>
    <w:pPr>
      <w:spacing w:after="140"/>
    </w:pPr>
  </w:style>
  <w:style w:type="character" w:customStyle="1" w:styleId="aa">
    <w:name w:val="Основной текст Знак"/>
    <w:basedOn w:val="a0"/>
    <w:link w:val="a9"/>
    <w:rsid w:val="00B20C76"/>
    <w:rPr>
      <w:rFonts w:ascii="Calibri" w:eastAsiaTheme="minorEastAsia" w:hAnsi="Calibri"/>
      <w:lang w:eastAsia="ru-RU"/>
    </w:rPr>
  </w:style>
  <w:style w:type="paragraph" w:styleId="ab">
    <w:name w:val="List"/>
    <w:basedOn w:val="a9"/>
    <w:rsid w:val="00B20C76"/>
    <w:rPr>
      <w:rFonts w:cs="Mangal"/>
    </w:rPr>
  </w:style>
  <w:style w:type="paragraph" w:styleId="ac">
    <w:name w:val="caption"/>
    <w:basedOn w:val="a"/>
    <w:qFormat/>
    <w:rsid w:val="00B20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20C7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B20C76"/>
    <w:pPr>
      <w:suppressLineNumbers/>
    </w:pPr>
    <w:rPr>
      <w:rFonts w:cs="Mangal"/>
    </w:rPr>
  </w:style>
  <w:style w:type="paragraph" w:styleId="ae">
    <w:name w:val="Subtitle"/>
    <w:basedOn w:val="a"/>
    <w:link w:val="11"/>
    <w:qFormat/>
    <w:rsid w:val="00B20C76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1">
    <w:name w:val="Подзаголовок Знак1"/>
    <w:basedOn w:val="a0"/>
    <w:link w:val="ae"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B20C7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2">
    <w:name w:val="Название Знак2"/>
    <w:basedOn w:val="a0"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qFormat/>
    <w:rsid w:val="00B2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B20C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B20C76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B20C76"/>
    <w:pPr>
      <w:widowControl w:val="0"/>
      <w:suppressAutoHyphens/>
      <w:spacing w:after="0" w:line="240" w:lineRule="auto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B20C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qFormat/>
    <w:rsid w:val="00B20C76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1">
    <w:name w:val="Содержимое врезки"/>
    <w:basedOn w:val="a"/>
    <w:qFormat/>
    <w:rsid w:val="00B20C76"/>
  </w:style>
  <w:style w:type="table" w:styleId="af2">
    <w:name w:val="Table Grid"/>
    <w:basedOn w:val="a1"/>
    <w:uiPriority w:val="59"/>
    <w:rsid w:val="007C7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76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basedOn w:val="a0"/>
    <w:qFormat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">
    <w:name w:val="Название Знак1"/>
    <w:basedOn w:val="a0"/>
    <w:link w:val="a4"/>
    <w:qFormat/>
    <w:rsid w:val="00B20C76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5">
    <w:name w:val="Название Знак"/>
    <w:basedOn w:val="a0"/>
    <w:uiPriority w:val="10"/>
    <w:qFormat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B20C76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20C76"/>
    <w:rPr>
      <w:b/>
      <w:bCs/>
    </w:rPr>
  </w:style>
  <w:style w:type="paragraph" w:customStyle="1" w:styleId="a8">
    <w:name w:val="Заголовок"/>
    <w:basedOn w:val="a"/>
    <w:next w:val="a9"/>
    <w:qFormat/>
    <w:rsid w:val="00B20C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B20C76"/>
    <w:pPr>
      <w:spacing w:after="140"/>
    </w:pPr>
  </w:style>
  <w:style w:type="character" w:customStyle="1" w:styleId="aa">
    <w:name w:val="Основной текст Знак"/>
    <w:basedOn w:val="a0"/>
    <w:link w:val="a9"/>
    <w:rsid w:val="00B20C76"/>
    <w:rPr>
      <w:rFonts w:ascii="Calibri" w:eastAsiaTheme="minorEastAsia" w:hAnsi="Calibri"/>
      <w:lang w:eastAsia="ru-RU"/>
    </w:rPr>
  </w:style>
  <w:style w:type="paragraph" w:styleId="ab">
    <w:name w:val="List"/>
    <w:basedOn w:val="a9"/>
    <w:rsid w:val="00B20C76"/>
    <w:rPr>
      <w:rFonts w:cs="Mangal"/>
    </w:rPr>
  </w:style>
  <w:style w:type="paragraph" w:styleId="ac">
    <w:name w:val="caption"/>
    <w:basedOn w:val="a"/>
    <w:qFormat/>
    <w:rsid w:val="00B20C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unhideWhenUsed/>
    <w:rsid w:val="00B20C76"/>
    <w:pPr>
      <w:spacing w:after="0" w:line="240" w:lineRule="auto"/>
      <w:ind w:left="220" w:hanging="220"/>
    </w:pPr>
  </w:style>
  <w:style w:type="paragraph" w:styleId="ad">
    <w:name w:val="index heading"/>
    <w:basedOn w:val="a"/>
    <w:qFormat/>
    <w:rsid w:val="00B20C76"/>
    <w:pPr>
      <w:suppressLineNumbers/>
    </w:pPr>
    <w:rPr>
      <w:rFonts w:cs="Mangal"/>
    </w:rPr>
  </w:style>
  <w:style w:type="paragraph" w:styleId="ae">
    <w:name w:val="Subtitle"/>
    <w:basedOn w:val="a"/>
    <w:link w:val="11"/>
    <w:qFormat/>
    <w:rsid w:val="00B20C76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11">
    <w:name w:val="Подзаголовок Знак1"/>
    <w:basedOn w:val="a0"/>
    <w:link w:val="ae"/>
    <w:rsid w:val="00B20C76"/>
    <w:rPr>
      <w:rFonts w:ascii="Arial" w:eastAsia="SimSun" w:hAnsi="Arial" w:cs="Arial"/>
      <w:kern w:val="2"/>
      <w:sz w:val="24"/>
      <w:szCs w:val="24"/>
      <w:lang w:eastAsia="zh-CN" w:bidi="hi-IN"/>
    </w:rPr>
  </w:style>
  <w:style w:type="paragraph" w:styleId="a4">
    <w:name w:val="Title"/>
    <w:basedOn w:val="a"/>
    <w:next w:val="a"/>
    <w:link w:val="1"/>
    <w:qFormat/>
    <w:rsid w:val="00B20C7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customStyle="1" w:styleId="2">
    <w:name w:val="Название Знак2"/>
    <w:basedOn w:val="a0"/>
    <w:rsid w:val="00B20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qFormat/>
    <w:rsid w:val="00B2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"/>
    <w:uiPriority w:val="99"/>
    <w:semiHidden/>
    <w:rsid w:val="00B20C7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qFormat/>
    <w:rsid w:val="00B20C76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ConsPlusCell">
    <w:name w:val="ConsPlusCell"/>
    <w:qFormat/>
    <w:rsid w:val="00B20C76"/>
    <w:pPr>
      <w:widowControl w:val="0"/>
      <w:suppressAutoHyphens/>
      <w:spacing w:after="0" w:line="240" w:lineRule="auto"/>
    </w:pPr>
    <w:rPr>
      <w:rFonts w:cs="Calibri"/>
      <w:lang w:eastAsia="zh-CN"/>
    </w:rPr>
  </w:style>
  <w:style w:type="paragraph" w:customStyle="1" w:styleId="ConsPlusNonformat">
    <w:name w:val="ConsPlusNonformat"/>
    <w:qFormat/>
    <w:rsid w:val="00B20C7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Normal (Web)"/>
    <w:basedOn w:val="a"/>
    <w:qFormat/>
    <w:rsid w:val="00B20C76"/>
    <w:pPr>
      <w:spacing w:after="7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af1">
    <w:name w:val="Содержимое врезки"/>
    <w:basedOn w:val="a"/>
    <w:qFormat/>
    <w:rsid w:val="00B20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5AFB-33E0-4E19-AA55-0D4CB9C7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Пользователь</cp:lastModifiedBy>
  <cp:revision>2</cp:revision>
  <cp:lastPrinted>2022-02-03T13:58:00Z</cp:lastPrinted>
  <dcterms:created xsi:type="dcterms:W3CDTF">2022-02-03T13:58:00Z</dcterms:created>
  <dcterms:modified xsi:type="dcterms:W3CDTF">2022-02-03T13:58:00Z</dcterms:modified>
</cp:coreProperties>
</file>